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 w:val="0"/>
          <w:sz w:val="18"/>
        </w:rPr>
        <w:t>붙임 2</w:t>
      </w:r>
    </w:p>
    <w:p>
      <w:pPr>
        <w:jc w:val="center"/>
      </w:pPr>
      <w:r>
        <w:rPr>
          <w:b/>
          <w:sz w:val="36"/>
        </w:rPr>
        <w:t>개인정보보호 실천선언</w:t>
      </w:r>
    </w:p>
    <w:p>
      <w:pPr>
        <w:jc w:val="center"/>
      </w:pPr>
      <w:r>
        <w:rPr>
          <w:b/>
        </w:rPr>
        <w:t>전 문</w:t>
      </w:r>
    </w:p>
    <w:p>
      <w:r>
        <w:rPr>
          <w:b w:val="0"/>
        </w:rPr>
        <w:t>우리는 우리가 다루는 개인정보가 우리의 자산이 아니라, 국민·고객·회원이 잠시 맡긴 신뢰임을 안다. 헌법은 모든 국민의 존엄과 사생활의 비밀을 보장하고, 헌법재판소는 자신의 정보를 스스로 결정할 권리(개인정보자기결정권)를 확인했다. 개인정보 보호법은 이 권리를 지키기 위해 개인정보를 다루는 모든 기관과 기업이 지켜야 할 의무를 정하고 있다.</w:t>
      </w:r>
    </w:p>
    <w:p>
      <w:r>
        <w:rPr>
          <w:b w:val="0"/>
        </w:rPr>
        <w:t>이에 우리는 정보주체의 권리를 존중하고 맡은 정보를 책임 있게 지키기 위해, 다음과 같이 실천할 것을 선언한다.</w:t>
      </w:r>
    </w:p>
    <w:p>
      <w:pPr>
        <w:jc w:val="center"/>
      </w:pPr>
      <w:r>
        <w:rPr>
          <w:b/>
        </w:rPr>
        <w:t>우리의 실천</w:t>
      </w:r>
    </w:p>
    <w:p>
      <w:r>
        <w:rPr>
          <w:b/>
        </w:rPr>
        <w:t>하나, 필요한 만큼만 받는다.</w:t>
      </w:r>
    </w:p>
    <w:p>
      <w:r>
        <w:rPr>
          <w:b w:val="0"/>
        </w:rPr>
        <w:t>업무에 꼭 필요한 정보만 수집하고, 민감하거나 유출 피해가 큰 정보를 필요 없이 요구하지 않으며, 보유기간이 끝나거나 목적을 이룬 정보는 지체 없이 파기한다.</w:t>
      </w:r>
    </w:p>
    <w:p>
      <w:r>
        <w:rPr>
          <w:b/>
        </w:rPr>
        <w:t>하나, 묻는 국민에게 답한다.</w:t>
      </w:r>
    </w:p>
    <w:p>
      <w:r>
        <w:rPr>
          <w:b w:val="0"/>
        </w:rPr>
        <w:t>국민·고객·회원의 열람·정정·삭제·처리정지·동의·철회 요구들을 성실히 처리한다.</w:t>
      </w:r>
    </w:p>
    <w:p>
      <w:r>
        <w:rPr>
          <w:b/>
        </w:rPr>
        <w:t>하나, 약속한 대로만 쓴다.</w:t>
      </w:r>
    </w:p>
    <w:p>
      <w:r>
        <w:rPr>
          <w:b w:val="0"/>
        </w:rPr>
        <w:t>수집할 때 알린 목적 안에서만 이용하고, 제3자 제공과 처리 위탁은 누구나 알 수 있게 공개하며, 위탁받은 곳이 정보를 안전하게 다루는지 관리·감독한다.</w:t>
      </w:r>
    </w:p>
    <w:p>
      <w:r>
        <w:rPr>
          <w:b/>
        </w:rPr>
        <w:t>하나, 보안에 투자한다.</w:t>
      </w:r>
    </w:p>
    <w:p>
      <w:r>
        <w:rPr>
          <w:b w:val="0"/>
        </w:rPr>
        <w:t>법이 정한 안전조치를 다하고, 국가 보안 인증·검증을 받은 보안도구를 우선 사용한다. 개인정보보호에 필요한 예산과 인력을 확보하고, 모든 구성원에게 교육을 실시한다.</w:t>
      </w:r>
    </w:p>
    <w:p>
      <w:r>
        <w:rPr>
          <w:b/>
        </w:rPr>
        <w:t>하나, 사고가 나면 책임 있게 대응한다.</w:t>
      </w:r>
    </w:p>
    <w:p>
      <w:r>
        <w:rPr>
          <w:b w:val="0"/>
        </w:rPr>
        <w:t>유출 사고가 나면 법이 정한 기한 안에 해당 정보주체에게 알리고 관계기관에 신고한다. 피해 구제를 적극 지원하고, 사고 원인과 재발 방지 대책, 그 이행 결과를 공개한다.</w:t>
      </w:r>
    </w:p>
    <w:p>
      <w:r>
        <w:rPr>
          <w:b/>
        </w:rPr>
        <w:t>하나, 약속을 점검받는다.</w:t>
      </w:r>
    </w:p>
    <w:p>
      <w:r>
        <w:rPr>
          <w:b w:val="0"/>
        </w:rPr>
        <w:t>이 선언의 이행 현황을 연 1회 공개하고, 외부의 점검과 개선 요청에 성실히 응한다.</w:t>
      </w:r>
    </w:p>
    <w:p>
      <w:pPr>
        <w:jc w:val="center"/>
      </w:pPr>
      <w:r>
        <w:rPr>
          <w:b w:val="0"/>
        </w:rPr>
        <w:br/>
        <w:t>년        월        일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249"/>
        <w:gridCol w:w="3249"/>
        <w:gridCol w:w="3249"/>
      </w:tblGrid>
      <w:tr>
        <w:tc>
          <w:tcPr>
            <w:tcW w:type="dxa" w:w="3249"/>
          </w:tcPr>
          <w:p>
            <w:r>
              <w:t>선언 기관·기업명</w:t>
            </w:r>
          </w:p>
        </w:tc>
        <w:tc>
          <w:tcPr>
            <w:tcW w:type="dxa" w:w="3249"/>
          </w:tcPr>
          <w:p>
            <w:r>
              <w:t>대표자(기관장)</w:t>
            </w:r>
          </w:p>
        </w:tc>
        <w:tc>
          <w:tcPr>
            <w:tcW w:type="dxa" w:w="3249"/>
          </w:tcPr>
          <w:p>
            <w:r>
              <w:t>개인정보 보호책임자</w:t>
            </w:r>
          </w:p>
        </w:tc>
      </w:tr>
      <w:tr>
        <w:tc>
          <w:tcPr>
            <w:tcW w:type="dxa" w:w="3249"/>
          </w:tcPr>
          <w:p>
            <w:r>
              <w:br/>
              <w:br/>
            </w:r>
          </w:p>
        </w:tc>
        <w:tc>
          <w:tcPr>
            <w:tcW w:type="dxa" w:w="3249"/>
          </w:tcPr>
          <w:p>
            <w:r>
              <w:br/>
              <w:br/>
              <w:t>(서명)</w:t>
            </w:r>
          </w:p>
        </w:tc>
        <w:tc>
          <w:tcPr>
            <w:tcW w:type="dxa" w:w="3249"/>
          </w:tcPr>
          <w:p>
            <w:r>
              <w:br/>
              <w:br/>
              <w:t>(서명)</w:t>
            </w:r>
          </w:p>
        </w:tc>
      </w:tr>
    </w:tbl>
    <w:p>
      <w:pPr>
        <w:jc w:val="center"/>
      </w:pPr>
      <w:r>
        <w:rPr>
          <w:b w:val="0"/>
          <w:sz w:val="18"/>
        </w:rPr>
        <w:br/>
        <w:t>공익법인 (재)한국컨설팅산업재단 (부설) 개인정보보호진흥원</w:t>
      </w:r>
    </w:p>
    <w:sectPr w:rsidR="00FC693F" w:rsidRPr="0006063C" w:rsidSect="00034616">
      <w:pgSz w:w="12240" w:h="15840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맑은 고딕" w:hAnsi="맑은 고딕" w:eastAsia="맑은 고딕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